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FBA284">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МУЗЫКАЛЬНАЯ РАЗВИВАЮЩАЯ ПРЕДМЕТНО-ПРОСТРАНСТВЕННАЯ СРЕДА В</w:t>
      </w:r>
      <w:r>
        <w:rPr>
          <w:rFonts w:ascii="Times New Roman" w:hAnsi="Times New Roman" w:eastAsia="Times New Roman" w:cs="Times New Roman"/>
          <w:b/>
          <w:sz w:val="24"/>
          <w:szCs w:val="24"/>
          <w:lang w:eastAsia="ru-RU"/>
        </w:rPr>
        <w:t xml:space="preserve"> </w:t>
      </w:r>
      <w:r>
        <w:rPr>
          <w:rFonts w:ascii="Times New Roman" w:hAnsi="Times New Roman" w:eastAsia="Times New Roman" w:cs="Times New Roman"/>
          <w:b/>
          <w:sz w:val="28"/>
          <w:szCs w:val="28"/>
          <w:lang w:eastAsia="ru-RU"/>
        </w:rPr>
        <w:t>ДОУ</w:t>
      </w:r>
    </w:p>
    <w:p w14:paraId="6C967100">
      <w:pPr>
        <w:spacing w:after="0" w:line="240" w:lineRule="auto"/>
        <w:jc w:val="both"/>
        <w:rPr>
          <w:rFonts w:ascii="Times New Roman" w:hAnsi="Times New Roman" w:eastAsia="Times New Roman" w:cs="Times New Roman"/>
          <w:sz w:val="24"/>
          <w:szCs w:val="24"/>
          <w:lang w:eastAsia="ru-RU"/>
        </w:rPr>
      </w:pPr>
    </w:p>
    <w:p w14:paraId="6279FF0A">
      <w:pPr>
        <w:spacing w:after="0" w:line="240" w:lineRule="auto"/>
        <w:jc w:val="right"/>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Составила музыкальный руководитель Климова</w:t>
      </w:r>
      <w:r>
        <w:rPr>
          <w:rFonts w:hint="default" w:ascii="Times New Roman" w:hAnsi="Times New Roman" w:eastAsia="Times New Roman" w:cs="Times New Roman"/>
          <w:i/>
          <w:sz w:val="28"/>
          <w:szCs w:val="28"/>
          <w:lang w:val="en-US" w:eastAsia="ru-RU"/>
        </w:rPr>
        <w:t xml:space="preserve"> Л.И.</w:t>
      </w:r>
      <w:r>
        <w:rPr>
          <w:rFonts w:ascii="Times New Roman" w:hAnsi="Times New Roman" w:eastAsia="Times New Roman" w:cs="Times New Roman"/>
          <w:i/>
          <w:sz w:val="28"/>
          <w:szCs w:val="28"/>
          <w:lang w:eastAsia="ru-RU"/>
        </w:rPr>
        <w:br w:type="textWrapping"/>
      </w:r>
    </w:p>
    <w:p w14:paraId="16308459">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В</w:t>
      </w:r>
      <w:r>
        <w:rPr>
          <w:rFonts w:hint="default" w:ascii="Times New Roman" w:hAnsi="Times New Roman" w:eastAsia="Times New Roman"/>
          <w:sz w:val="28"/>
          <w:szCs w:val="28"/>
          <w:lang w:val="en-US" w:eastAsia="ru-RU"/>
        </w:rPr>
        <w:t xml:space="preserve"> </w:t>
      </w:r>
      <w:r>
        <w:rPr>
          <w:rFonts w:hint="default" w:ascii="Times New Roman" w:hAnsi="Times New Roman" w:eastAsia="Times New Roman"/>
          <w:sz w:val="28"/>
          <w:szCs w:val="28"/>
          <w:lang w:eastAsia="ru-RU"/>
        </w:rPr>
        <w:t>нашем дошкольном учреждении уделяется большое внимание созданию и наполнению музыкальной предметно-развивающей среды с использованием современных инновационных подходов и принципов построения музыкально-игрового пространства. Имеется музыкальный зал</w:t>
      </w:r>
      <w:r>
        <w:rPr>
          <w:rFonts w:hint="default" w:ascii="Times New Roman" w:hAnsi="Times New Roman" w:eastAsia="Times New Roman"/>
          <w:sz w:val="28"/>
          <w:szCs w:val="28"/>
          <w:lang w:val="en-US" w:eastAsia="ru-RU"/>
        </w:rPr>
        <w:t xml:space="preserve"> во всех корпусах детского сада</w:t>
      </w:r>
      <w:r>
        <w:rPr>
          <w:rFonts w:hint="default" w:ascii="Times New Roman" w:hAnsi="Times New Roman" w:eastAsia="Times New Roman"/>
          <w:sz w:val="28"/>
          <w:szCs w:val="28"/>
          <w:lang w:eastAsia="ru-RU"/>
        </w:rPr>
        <w:t>. В группах созданы театрально-музыкальные центры. Есть костюмерная с набором костюмов для театральных постановок для детей и взрослых. Собрана библиотека:</w:t>
      </w:r>
    </w:p>
    <w:p w14:paraId="2D4DBA61">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 xml:space="preserve"> картотека методической литературы:</w:t>
      </w:r>
    </w:p>
    <w:p w14:paraId="22164510">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 xml:space="preserve"> учебно-методический   комплект   и   дополнительный   материал</w:t>
      </w:r>
    </w:p>
    <w:p w14:paraId="08BC08C9">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программы «Ладушки» И. М.Каплуновой, И. А.Новоскольцевой;</w:t>
      </w:r>
    </w:p>
    <w:p w14:paraId="524A40F9">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методическое обеспечение программы «Ритмическая мозаика» А.И.Бурениной;</w:t>
      </w:r>
    </w:p>
    <w:p w14:paraId="5978A9C0">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методическое обеспечение программы «Танцевальная ритмика для детей» Т.Суворовой;</w:t>
      </w:r>
    </w:p>
    <w:p w14:paraId="3BDF914A">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методическое обеспечение программы «Топ-хлоп, малыши» Т.Сауко, А.И.Бурениной;</w:t>
      </w:r>
    </w:p>
    <w:p w14:paraId="66D0DBC1">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Сорокина Н.Ф., Миланович Л.Г. Программа «Театр-творчество-дети.-М.: МИОО, 1995.</w:t>
      </w:r>
    </w:p>
    <w:p w14:paraId="09C90408">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сборники сценариев праздников и развлечений.</w:t>
      </w:r>
    </w:p>
    <w:p w14:paraId="410C7475">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картотека художественной литературы:</w:t>
      </w:r>
    </w:p>
    <w:p w14:paraId="49F36619">
      <w:pPr>
        <w:spacing w:after="0" w:line="240" w:lineRule="auto"/>
        <w:ind w:left="-567" w:firstLine="567"/>
        <w:jc w:val="both"/>
        <w:rPr>
          <w:rFonts w:hint="default" w:ascii="Times New Roman" w:hAnsi="Times New Roman" w:eastAsia="Times New Roman"/>
          <w:sz w:val="28"/>
          <w:szCs w:val="28"/>
          <w:lang w:eastAsia="ru-RU"/>
        </w:rPr>
      </w:pPr>
    </w:p>
    <w:p w14:paraId="0A0A1A74">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произведения русскогo народного фольклора (сказки, стихи, потешки, прибаутки, скороговорки, чистоговорки);</w:t>
      </w:r>
    </w:p>
    <w:p w14:paraId="6F2B5134">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серия книг «Рассказы детям о музыке»;</w:t>
      </w:r>
    </w:p>
    <w:p w14:paraId="58C1271F">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серия книг по произведениям русских и советских писателей, поэтов;</w:t>
      </w:r>
    </w:p>
    <w:p w14:paraId="35669792">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Ежегодная</w:t>
      </w:r>
      <w:r>
        <w:rPr>
          <w:rFonts w:hint="default" w:ascii="Times New Roman" w:hAnsi="Times New Roman" w:eastAsia="Times New Roman"/>
          <w:sz w:val="28"/>
          <w:szCs w:val="28"/>
          <w:lang w:val="en-US" w:eastAsia="ru-RU"/>
        </w:rPr>
        <w:t xml:space="preserve"> подписка журналов, </w:t>
      </w:r>
      <w:r>
        <w:rPr>
          <w:rFonts w:hint="default" w:ascii="Times New Roman" w:hAnsi="Times New Roman" w:eastAsia="Times New Roman"/>
          <w:sz w:val="28"/>
          <w:szCs w:val="28"/>
          <w:lang w:eastAsia="ru-RU"/>
        </w:rPr>
        <w:t>картотека периодических изданий:</w:t>
      </w:r>
    </w:p>
    <w:p w14:paraId="4982DE8A">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журнал «Старший воспитатель»</w:t>
      </w:r>
    </w:p>
    <w:p w14:paraId="17B4A77F">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журнал «Дошкольное воспитание»,</w:t>
      </w:r>
    </w:p>
    <w:p w14:paraId="48769466">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журнал «Музыкальный руководитель»,</w:t>
      </w:r>
    </w:p>
    <w:p w14:paraId="20D3AB3B">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журнал «Музыкальная палитра»,</w:t>
      </w:r>
    </w:p>
    <w:p w14:paraId="19B2BB9E">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Картотека музыкально-дидактических игр:</w:t>
      </w:r>
    </w:p>
    <w:p w14:paraId="404C464A">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для развития звуковысотного слуха,  игры на развитие динамического слуха,</w:t>
      </w:r>
    </w:p>
    <w:p w14:paraId="04FFBDFF">
      <w:pPr>
        <w:spacing w:after="0" w:line="240" w:lineRule="auto"/>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на развитие тембрового слуха,</w:t>
      </w:r>
    </w:p>
    <w:p w14:paraId="0CFF48FC">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на развитие ладогармонического слуха,</w:t>
      </w:r>
    </w:p>
    <w:p w14:paraId="4FB4B2A7">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на развитие памяти и музыкального слуха,</w:t>
      </w:r>
    </w:p>
    <w:p w14:paraId="0EEBEE18">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для развития детского творчества,</w:t>
      </w:r>
    </w:p>
    <w:p w14:paraId="57B00343">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картотека музыкальных игр и упражнений:</w:t>
      </w:r>
    </w:p>
    <w:p w14:paraId="5BF67E2B">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русские нарoдные игры и хороводы,</w:t>
      </w:r>
    </w:p>
    <w:p w14:paraId="46D2B33B">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народов мира,</w:t>
      </w:r>
    </w:p>
    <w:p w14:paraId="6995CDCA">
      <w:pPr>
        <w:spacing w:after="0" w:line="240" w:lineRule="auto"/>
        <w:ind w:left="-567" w:firstLine="567"/>
        <w:jc w:val="both"/>
        <w:rPr>
          <w:rFonts w:hint="default" w:ascii="Times New Roman" w:hAnsi="Times New Roman" w:eastAsia="Times New Roman"/>
          <w:sz w:val="28"/>
          <w:szCs w:val="28"/>
          <w:lang w:eastAsia="ru-RU"/>
        </w:rPr>
      </w:pPr>
    </w:p>
    <w:p w14:paraId="730C8F75">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с музыкальными инструментами,</w:t>
      </w:r>
    </w:p>
    <w:p w14:paraId="069650D8">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со звуком,</w:t>
      </w:r>
    </w:p>
    <w:p w14:paraId="2A89D30B">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речевые игры,</w:t>
      </w:r>
    </w:p>
    <w:p w14:paraId="5D8EB9E3">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пальчиковые игры,</w:t>
      </w:r>
    </w:p>
    <w:p w14:paraId="121BD967">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игры на развитие воображения,</w:t>
      </w:r>
    </w:p>
    <w:p w14:paraId="4E7DBDEB">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«сказки-шумелки»,</w:t>
      </w:r>
    </w:p>
    <w:p w14:paraId="3D0A42C4">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коммуникативные игры,</w:t>
      </w:r>
    </w:p>
    <w:p w14:paraId="4BDA48CE">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творческие этюды  игры «Дыхательная гимнастика»,</w:t>
      </w:r>
    </w:p>
    <w:p w14:paraId="59AE06ED">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упражнения «Артикуляционная гимнастика» и др.</w:t>
      </w:r>
    </w:p>
    <w:p w14:paraId="668351C9">
      <w:pPr>
        <w:spacing w:after="0" w:line="240" w:lineRule="auto"/>
        <w:ind w:left="-567" w:firstLine="567"/>
        <w:jc w:val="both"/>
        <w:rPr>
          <w:rFonts w:hint="default" w:ascii="Times New Roman" w:hAnsi="Times New Roman" w:eastAsia="Times New Roman"/>
          <w:sz w:val="28"/>
          <w:szCs w:val="28"/>
          <w:lang w:eastAsia="ru-RU"/>
        </w:rPr>
      </w:pPr>
    </w:p>
    <w:p w14:paraId="3A622CA1">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Методическая копилка музыкальных руководителей включает в себя богатейшую фонотеку, как классики, так и музыки современных композиторов, песен для детей; видеотеку балетов-сказок П.И.Чайковского, опер для детей, выступлений выдающихся музыкантов.</w:t>
      </w:r>
    </w:p>
    <w:p w14:paraId="5CEF060C">
      <w:pPr>
        <w:spacing w:after="0" w:line="240" w:lineRule="auto"/>
        <w:ind w:left="-567" w:firstLine="567"/>
        <w:jc w:val="both"/>
        <w:rPr>
          <w:rFonts w:hint="default" w:ascii="Times New Roman" w:hAnsi="Times New Roman" w:eastAsia="Times New Roman"/>
          <w:sz w:val="28"/>
          <w:szCs w:val="28"/>
          <w:lang w:eastAsia="ru-RU"/>
        </w:rPr>
      </w:pPr>
    </w:p>
    <w:p w14:paraId="42CB9DEF">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В</w:t>
      </w:r>
      <w:r>
        <w:rPr>
          <w:rFonts w:hint="default" w:ascii="Times New Roman" w:hAnsi="Times New Roman" w:eastAsia="Times New Roman"/>
          <w:sz w:val="28"/>
          <w:szCs w:val="28"/>
          <w:lang w:val="en-US" w:eastAsia="ru-RU"/>
        </w:rPr>
        <w:t xml:space="preserve"> </w:t>
      </w:r>
      <w:r>
        <w:rPr>
          <w:rFonts w:hint="default" w:ascii="Times New Roman" w:hAnsi="Times New Roman" w:eastAsia="Times New Roman"/>
          <w:sz w:val="28"/>
          <w:szCs w:val="28"/>
          <w:lang w:eastAsia="ru-RU"/>
        </w:rPr>
        <w:t>детском саду очень много атрибутов для танцевального и музыкального творчества (разноцветные платочки, шарфики, ленточки, помпоны; осенние веточки, снежинки, букетики цветов; светящиеся звездочки, волшебные палочки, фонарики и т.д.), элементов костюмов (шапочки грибов, овощей, цветов, шапочки животных и т.д.) и атрибутов для инсценирования песен, творческих музыкальных этюдов и импровизаций. Яркие, красочные атрибуты помогают наполнить содержание музыкальной деятельности детей более глубоким смыслом, поднять эмоциональный фон происходящего действия.</w:t>
      </w:r>
    </w:p>
    <w:p w14:paraId="71F957A2">
      <w:pPr>
        <w:spacing w:after="0" w:line="240" w:lineRule="auto"/>
        <w:ind w:left="-567" w:firstLine="567"/>
        <w:jc w:val="both"/>
        <w:rPr>
          <w:rFonts w:hint="default" w:ascii="Times New Roman" w:hAnsi="Times New Roman" w:eastAsia="Times New Roman"/>
          <w:sz w:val="28"/>
          <w:szCs w:val="28"/>
          <w:lang w:eastAsia="ru-RU"/>
        </w:rPr>
      </w:pPr>
      <w:r>
        <w:rPr>
          <w:rFonts w:hint="default" w:ascii="Times New Roman" w:hAnsi="Times New Roman" w:eastAsia="Times New Roman"/>
          <w:sz w:val="28"/>
          <w:szCs w:val="28"/>
          <w:lang w:eastAsia="ru-RU"/>
        </w:rPr>
        <w:t>Созданы условия для знакомства с музыкальными инструментами и для занятий на них: ксилофоны диатонические и хроматические (сопрано и альт), металлофоны диатонические и хроматические (сопрано и альт), колокольчики диатонические и хроматические (сопрано и альт), арфы, гармошки, бубны, румбы, бубенцы, маракасы, треугольники, тамбурины, барабаны, колокольчики, набор русских народных инструментов: трещотки, коробочки, ложки, свистульки и т.д.,</w:t>
      </w:r>
    </w:p>
    <w:p w14:paraId="0548EC89">
      <w:pPr>
        <w:spacing w:after="0" w:line="240" w:lineRule="auto"/>
        <w:ind w:left="-567" w:firstLine="567"/>
        <w:jc w:val="both"/>
        <w:rPr>
          <w:rFonts w:hint="default" w:ascii="Times New Roman" w:hAnsi="Times New Roman" w:eastAsia="Times New Roman"/>
          <w:sz w:val="28"/>
          <w:szCs w:val="28"/>
          <w:lang w:eastAsia="ru-RU"/>
        </w:rPr>
      </w:pPr>
    </w:p>
    <w:p w14:paraId="613F0B1B">
      <w:pPr>
        <w:spacing w:after="0" w:line="240" w:lineRule="auto"/>
        <w:ind w:left="-567" w:firstLine="567"/>
        <w:jc w:val="both"/>
        <w:rPr>
          <w:rFonts w:ascii="Times New Roman" w:hAnsi="Times New Roman" w:eastAsia="Times New Roman" w:cs="Times New Roman"/>
          <w:sz w:val="28"/>
          <w:szCs w:val="28"/>
          <w:lang w:eastAsia="ru-RU"/>
        </w:rPr>
      </w:pPr>
      <w:r>
        <w:rPr>
          <w:rFonts w:hint="default" w:ascii="Times New Roman" w:hAnsi="Times New Roman" w:eastAsia="Times New Roman"/>
          <w:sz w:val="28"/>
          <w:szCs w:val="28"/>
          <w:lang w:eastAsia="ru-RU"/>
        </w:rPr>
        <w:t>Таким образом, современная музыкальная развивающая предметно-пространственная среда, творческая среда, которая дает малышу возможность проявлять себя, реализовываться в различных видах музыкальной деятельности и является «плодородной почвой», на которой и произрастают ростки музыкальных и творческих проявлений детей.</w:t>
      </w:r>
    </w:p>
    <w:p w14:paraId="27ED3441">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Содержание музыкального воспитания в ДОУ создает благоприятные условия для развития потенциальных возможностей ребенка, его музыкальных способностей. Применение методов, приемов, наглядных пособий, звуковых средств, которые помогают детям уяснить содержание и средства музыкальной выразительности, способствуют формированию интереса детей к музыке и развитию музыкальных способностей. </w:t>
      </w:r>
    </w:p>
    <w:p w14:paraId="3CA38869">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зале создана комфортная предметно-пространственная среда, соответствующая различным возрастным, гендерным, индивидуальным особенностям детей. Среда является содержательно- насыщенной, трансформируемой, полифункциональной, вариативной, доступной и безопасной.</w:t>
      </w:r>
    </w:p>
    <w:p w14:paraId="0360B423">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Полифункциональность</w:t>
      </w:r>
      <w:r>
        <w:rPr>
          <w:rFonts w:ascii="Times New Roman" w:hAnsi="Times New Roman" w:eastAsia="Times New Roman" w:cs="Times New Roman"/>
          <w:sz w:val="28"/>
          <w:szCs w:val="28"/>
          <w:lang w:eastAsia="ru-RU"/>
        </w:rPr>
        <w:t xml:space="preserve"> предметной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стулья.</w:t>
      </w:r>
    </w:p>
    <w:p w14:paraId="40D604A2">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Трансформируемость</w:t>
      </w:r>
      <w:r>
        <w:rPr>
          <w:rFonts w:ascii="Times New Roman" w:hAnsi="Times New Roman" w:eastAsia="Times New Roman" w:cs="Times New Roman"/>
          <w:sz w:val="28"/>
          <w:szCs w:val="28"/>
          <w:lang w:eastAsia="ru-RU"/>
        </w:rPr>
        <w:t xml:space="preserve"> предметной среды позволяет детям по-новому взглянуть на игровое пространство с иной точки зрения, проявлять активность в обустройстве места игры и предвидеть ее результаты. Такая организация пространства позволяет детям различного возраста выбирать интересные для себя занятия, чередовать их в течение самостоятельной деятельности, а музыкальному руководителю организовать образовательный процесс с учетом индивидуальных особенностей детей.</w:t>
      </w:r>
    </w:p>
    <w:p w14:paraId="1DDCF443">
      <w:pPr>
        <w:spacing w:after="0" w:line="240" w:lineRule="auto"/>
        <w:ind w:left="-567" w:firstLine="567"/>
        <w:jc w:val="both"/>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Организация предметно пространственной среды музыкального зала.</w:t>
      </w:r>
    </w:p>
    <w:p w14:paraId="1478B6AB">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Музыкальный зал – отдельное просторное, светлое помещение, в котором обеспечивается оптимальная температура воздуха, не раздражающее цветовое решение интерьера. Крупные, малоподвижные предметы обстановки окрашены в спокойные тона.</w:t>
      </w:r>
    </w:p>
    <w:p w14:paraId="06FF5CDB">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Оснащение музыкального зала соответствует санитарно-гигиеническим нормам, площадь музыкального зала достаточна для реализации образовательных задач.</w:t>
      </w:r>
    </w:p>
    <w:p w14:paraId="6432DE1E">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Оборудование, представленное в музыкальном зале, имеет все необходимые документы и сертификаты качества.</w:t>
      </w:r>
    </w:p>
    <w:p w14:paraId="1557CEAF">
      <w:pPr>
        <w:spacing w:after="0" w:line="240" w:lineRule="auto"/>
        <w:ind w:left="-567"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Всё пространство предметно пространственной среды музыкального зала безопасно для физического здоровья и отвечает требованиям Сан Пин, правилам пожарной безопасности. Оборудование и игрушки изготовлены из безопасных для здоровья материалов, подвергаются гигиенической обработке.</w:t>
      </w:r>
    </w:p>
    <w:p w14:paraId="0B9F2407">
      <w:pPr>
        <w:spacing w:after="0" w:line="240" w:lineRule="auto"/>
        <w:ind w:left="-567" w:firstLine="567"/>
        <w:jc w:val="both"/>
      </w:pPr>
      <w:r>
        <w:rPr>
          <w:rFonts w:ascii="Times New Roman" w:hAnsi="Times New Roman" w:eastAsia="Times New Roman" w:cs="Times New Roman"/>
          <w:sz w:val="28"/>
          <w:szCs w:val="28"/>
          <w:lang w:eastAsia="ru-RU"/>
        </w:rPr>
        <w:drawing>
          <wp:anchor distT="0" distB="0" distL="114300" distR="114300" simplePos="0" relativeHeight="251660288" behindDoc="0" locked="0" layoutInCell="1" allowOverlap="1">
            <wp:simplePos x="0" y="0"/>
            <wp:positionH relativeFrom="margin">
              <wp:posOffset>2540635</wp:posOffset>
            </wp:positionH>
            <wp:positionV relativeFrom="margin">
              <wp:posOffset>727075</wp:posOffset>
            </wp:positionV>
            <wp:extent cx="3706495" cy="2779395"/>
            <wp:effectExtent l="0" t="0" r="825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706495" cy="2779395"/>
                    </a:xfrm>
                    <a:prstGeom prst="rect">
                      <a:avLst/>
                    </a:prstGeom>
                    <a:noFill/>
                  </pic:spPr>
                </pic:pic>
              </a:graphicData>
            </a:graphic>
          </wp:anchor>
        </w:drawing>
      </w:r>
      <w:r>
        <w:rPr>
          <w:rFonts w:ascii="Times New Roman" w:hAnsi="Times New Roman" w:eastAsia="Times New Roman" w:cs="Times New Roman"/>
          <w:sz w:val="28"/>
          <w:szCs w:val="28"/>
          <w:lang w:eastAsia="ru-RU"/>
        </w:rPr>
        <w:drawing>
          <wp:anchor distT="0" distB="0" distL="114300" distR="114300" simplePos="0" relativeHeight="251659264" behindDoc="0" locked="0" layoutInCell="1" allowOverlap="1">
            <wp:simplePos x="0" y="0"/>
            <wp:positionH relativeFrom="margin">
              <wp:posOffset>-456565</wp:posOffset>
            </wp:positionH>
            <wp:positionV relativeFrom="margin">
              <wp:posOffset>730885</wp:posOffset>
            </wp:positionV>
            <wp:extent cx="3704590" cy="2778125"/>
            <wp:effectExtent l="0" t="0" r="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704590" cy="2778125"/>
                    </a:xfrm>
                    <a:prstGeom prst="rect">
                      <a:avLst/>
                    </a:prstGeom>
                    <a:noFill/>
                  </pic:spPr>
                </pic:pic>
              </a:graphicData>
            </a:graphic>
          </wp:anchor>
        </w:drawing>
      </w:r>
      <w:r>
        <w:rPr>
          <w:rFonts w:ascii="Times New Roman" w:hAnsi="Times New Roman" w:eastAsia="Times New Roman" w:cs="Times New Roman"/>
          <w:sz w:val="28"/>
          <w:szCs w:val="28"/>
          <w:lang w:eastAsia="ru-RU"/>
        </w:rPr>
        <w:t>Все элементы предметно-пространственной среды музыкального зала соответствуют требованиям по обеспечению надёжности, исправности и безопасности их использования.</w:t>
      </w:r>
      <w:r>
        <w:rPr>
          <w:rFonts w:hint="default" w:ascii="Times New Roman" w:hAnsi="Times New Roman" w:eastAsia="Times New Roman" w:cs="Times New Roman"/>
          <w:sz w:val="28"/>
          <w:szCs w:val="28"/>
          <w:lang w:val="en-US" w:eastAsia="ru-RU"/>
        </w:rPr>
        <w:t xml:space="preserve"> </w:t>
      </w:r>
      <w:r>
        <w:rPr>
          <w:rFonts w:ascii="Times New Roman" w:hAnsi="Times New Roman" w:eastAsia="Times New Roman" w:cs="Times New Roman"/>
          <w:sz w:val="28"/>
          <w:szCs w:val="28"/>
          <w:lang w:eastAsia="ru-RU"/>
        </w:rPr>
        <w:t>Все технические средства обучения соответствуют санитарно- гигиеническим нормам и требованиям, техническое оборудование имеет все необходимые документы и сертификаты качества. Технические средства обучения используются в соответствии с принципом необходимости и достаточности для организации образовательной работы.</w:t>
      </w:r>
      <w:r>
        <w:t xml:space="preserve"> </w:t>
      </w:r>
    </w:p>
    <w:p w14:paraId="73B76E1D">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Зал оснащен музыкальным центром, магнитофоном, фортепиано; нотным материалом, пособиями и атрибутами, музыкальными игрушками и инструментами, музыкально – дидактическими играми, видиоаппаратурой. </w:t>
      </w:r>
    </w:p>
    <w:p w14:paraId="0F1C09F1">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Атрибуты, игрушки соответствуют возрастным особенностям детей. Предметно- пространственная среда музыкального зала ограждает детей от отрицательных эмоций, проявления страха, неуверенности, беспокойства. Среда не провоцирует на агрессивные действия, проявление жестокости. Эстетическое оформление среды, позитивные, доброжелательные интонации музыкального руководителя способствуют поддержанию атмосферы доверия среди детей и взрослых, обеспечивает эмоциональное благополучие детей.</w:t>
      </w:r>
    </w:p>
    <w:p w14:paraId="02B14520">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Предметно- пространственная среда музыкального зала обеспечивает двигательную активность детей и в связи с этим музыкальный руководитель формирует у детей, начиная с раннего возраста навыки безопасного поведения в подвижных играх, ритмических и танцевальных композициях, ориентацию в пространстве музыкального зала.</w:t>
      </w:r>
    </w:p>
    <w:p w14:paraId="01A54447">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использовании атрибутов для танца – лент, цветов, листьев, дети располагаются на расстоянии друг от друга: вижу, не задеваю. Используется специальная, удобная, обувь для музыкального зала- чешки.</w:t>
      </w:r>
    </w:p>
    <w:p w14:paraId="74BCB8DD">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62336" behindDoc="0" locked="0" layoutInCell="1" allowOverlap="1">
            <wp:simplePos x="0" y="0"/>
            <wp:positionH relativeFrom="margin">
              <wp:posOffset>3664585</wp:posOffset>
            </wp:positionH>
            <wp:positionV relativeFrom="margin">
              <wp:posOffset>5821680</wp:posOffset>
            </wp:positionV>
            <wp:extent cx="2754630" cy="2065655"/>
            <wp:effectExtent l="0" t="0" r="762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54630" cy="206565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margin">
              <wp:posOffset>-586105</wp:posOffset>
            </wp:positionH>
            <wp:positionV relativeFrom="margin">
              <wp:posOffset>6732905</wp:posOffset>
            </wp:positionV>
            <wp:extent cx="3950335" cy="26289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b="11265"/>
                    <a:stretch>
                      <a:fillRect/>
                    </a:stretch>
                  </pic:blipFill>
                  <pic:spPr>
                    <a:xfrm>
                      <a:off x="0" y="0"/>
                      <a:ext cx="3950335" cy="26289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margin">
              <wp:align>left</wp:align>
            </wp:positionH>
            <wp:positionV relativeFrom="page">
              <wp:posOffset>4482465</wp:posOffset>
            </wp:positionV>
            <wp:extent cx="3112135" cy="196913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0" cstate="print">
                      <a:extLst>
                        <a:ext uri="{28A0092B-C50C-407E-A947-70E740481C1C}">
                          <a14:useLocalDpi xmlns:a14="http://schemas.microsoft.com/office/drawing/2010/main" val="0"/>
                        </a:ext>
                      </a:extLst>
                    </a:blip>
                    <a:srcRect b="12968"/>
                    <a:stretch>
                      <a:fillRect/>
                    </a:stretch>
                  </pic:blipFill>
                  <pic:spPr>
                    <a:xfrm>
                      <a:off x="0" y="0"/>
                      <a:ext cx="3115168" cy="1970838"/>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В музыкальном зале вместе с детьми находится музыкальный руководитель и воспитатель, а также при необходимости помощник воспитателя, что обеспечивает функции присмотра за каждым ребёнком, обеспечивает комфорт и безопасность детей.</w:t>
      </w:r>
    </w:p>
    <w:p w14:paraId="12198660">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68480" behindDoc="0" locked="0" layoutInCell="1" allowOverlap="1">
            <wp:simplePos x="0" y="0"/>
            <wp:positionH relativeFrom="page">
              <wp:posOffset>4325620</wp:posOffset>
            </wp:positionH>
            <wp:positionV relativeFrom="margin">
              <wp:posOffset>7983855</wp:posOffset>
            </wp:positionV>
            <wp:extent cx="2825115" cy="1612265"/>
            <wp:effectExtent l="0" t="0" r="0"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1" cstate="print">
                      <a:extLst>
                        <a:ext uri="{28A0092B-C50C-407E-A947-70E740481C1C}">
                          <a14:useLocalDpi xmlns:a14="http://schemas.microsoft.com/office/drawing/2010/main" val="0"/>
                        </a:ext>
                      </a:extLst>
                    </a:blip>
                    <a:srcRect b="12376"/>
                    <a:stretch>
                      <a:fillRect/>
                    </a:stretch>
                  </pic:blipFill>
                  <pic:spPr>
                    <a:xfrm>
                      <a:off x="0" y="0"/>
                      <a:ext cx="2825115" cy="1612265"/>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margin">
              <wp:posOffset>3241675</wp:posOffset>
            </wp:positionH>
            <wp:positionV relativeFrom="margin">
              <wp:posOffset>6228080</wp:posOffset>
            </wp:positionV>
            <wp:extent cx="2834005" cy="1722755"/>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l="10111" t="23397" b="10892"/>
                    <a:stretch>
                      <a:fillRect/>
                    </a:stretch>
                  </pic:blipFill>
                  <pic:spPr>
                    <a:xfrm>
                      <a:off x="0" y="0"/>
                      <a:ext cx="2834005" cy="172275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margin">
              <wp:posOffset>3233420</wp:posOffset>
            </wp:positionH>
            <wp:positionV relativeFrom="margin">
              <wp:posOffset>4530725</wp:posOffset>
            </wp:positionV>
            <wp:extent cx="2834005" cy="1661160"/>
            <wp:effectExtent l="0" t="0" r="444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t="15669" b="10021"/>
                    <a:stretch>
                      <a:fillRect/>
                    </a:stretch>
                  </pic:blipFill>
                  <pic:spPr>
                    <a:xfrm>
                      <a:off x="0" y="0"/>
                      <a:ext cx="2834005" cy="1661160"/>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 xml:space="preserve"> </w:t>
      </w:r>
    </w:p>
    <w:p w14:paraId="16F72F8F">
      <w:pPr>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Систематически ведется работа по созданию, пополнению и обновлению развивающей среды, способствующей развитию детей и являющейся опорой на личностно-ориентированную модель взаимодействия, которая в свою очередь является доминирующей формой общения в нашем дошкольном учреждении. В соответствии с требованиями к среде развития ребенка предметно-пространственная организация музыкального зала обеспечивает полноценное развитие и эмоциональное благополучие детей, отвечает их интересам и потребностям.</w:t>
      </w:r>
    </w:p>
    <w:p w14:paraId="16BE37F9">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70528" behindDoc="0" locked="0" layoutInCell="1" allowOverlap="1">
            <wp:simplePos x="0" y="0"/>
            <wp:positionH relativeFrom="margin">
              <wp:posOffset>-254635</wp:posOffset>
            </wp:positionH>
            <wp:positionV relativeFrom="margin">
              <wp:posOffset>1938020</wp:posOffset>
            </wp:positionV>
            <wp:extent cx="3050540" cy="21196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156"/>
                    <a:stretch>
                      <a:fillRect/>
                    </a:stretch>
                  </pic:blipFill>
                  <pic:spPr>
                    <a:xfrm>
                      <a:off x="0" y="0"/>
                      <a:ext cx="3050540" cy="2119630"/>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margin">
              <wp:align>right</wp:align>
            </wp:positionH>
            <wp:positionV relativeFrom="margin">
              <wp:posOffset>3836670</wp:posOffset>
            </wp:positionV>
            <wp:extent cx="2890520" cy="2110740"/>
            <wp:effectExtent l="0" t="0" r="508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5" cstate="print">
                      <a:extLst>
                        <a:ext uri="{28A0092B-C50C-407E-A947-70E740481C1C}">
                          <a14:useLocalDpi xmlns:a14="http://schemas.microsoft.com/office/drawing/2010/main" val="0"/>
                        </a:ext>
                      </a:extLst>
                    </a:blip>
                    <a:srcRect t="8741" b="10343"/>
                    <a:stretch>
                      <a:fillRect/>
                    </a:stretch>
                  </pic:blipFill>
                  <pic:spPr>
                    <a:xfrm>
                      <a:off x="0" y="0"/>
                      <a:ext cx="2894755" cy="2113614"/>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margin">
              <wp:align>right</wp:align>
            </wp:positionH>
            <wp:positionV relativeFrom="margin">
              <wp:posOffset>1987550</wp:posOffset>
            </wp:positionV>
            <wp:extent cx="2892425" cy="1866900"/>
            <wp:effectExtent l="0" t="0" r="317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b="11981"/>
                    <a:stretch>
                      <a:fillRect/>
                    </a:stretch>
                  </pic:blipFill>
                  <pic:spPr>
                    <a:xfrm>
                      <a:off x="0" y="0"/>
                      <a:ext cx="2892425" cy="1866900"/>
                    </a:xfrm>
                    <a:prstGeom prst="rect">
                      <a:avLst/>
                    </a:prstGeom>
                    <a:noFill/>
                    <a:ln>
                      <a:noFill/>
                    </a:ln>
                  </pic:spPr>
                </pic:pic>
              </a:graphicData>
            </a:graphic>
          </wp:anchor>
        </w:drawing>
      </w:r>
    </w:p>
    <w:p w14:paraId="63CE87AE">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65408" behindDoc="0" locked="0" layoutInCell="1" allowOverlap="1">
            <wp:simplePos x="0" y="0"/>
            <wp:positionH relativeFrom="margin">
              <wp:posOffset>-476885</wp:posOffset>
            </wp:positionH>
            <wp:positionV relativeFrom="margin">
              <wp:posOffset>4401820</wp:posOffset>
            </wp:positionV>
            <wp:extent cx="3164205" cy="1573530"/>
            <wp:effectExtent l="0" t="0" r="0"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t="26740" b="11078"/>
                    <a:stretch>
                      <a:fillRect/>
                    </a:stretch>
                  </pic:blipFill>
                  <pic:spPr>
                    <a:xfrm>
                      <a:off x="0" y="0"/>
                      <a:ext cx="3164205" cy="1573530"/>
                    </a:xfrm>
                    <a:prstGeom prst="rect">
                      <a:avLst/>
                    </a:prstGeom>
                    <a:noFill/>
                    <a:ln>
                      <a:noFill/>
                    </a:ln>
                  </pic:spPr>
                </pic:pic>
              </a:graphicData>
            </a:graphic>
          </wp:anchor>
        </w:drawing>
      </w:r>
    </w:p>
    <w:p w14:paraId="5E286AD0">
      <w:pPr>
        <w:spacing w:after="0" w:line="240" w:lineRule="auto"/>
        <w:ind w:firstLine="708"/>
        <w:jc w:val="both"/>
        <w:rPr>
          <w:rFonts w:ascii="Times New Roman" w:hAnsi="Times New Roman" w:eastAsia="Times New Roman" w:cs="Times New Roman"/>
          <w:b/>
          <w:bCs/>
          <w:sz w:val="28"/>
          <w:szCs w:val="28"/>
          <w:lang w:eastAsia="ru-RU"/>
        </w:rPr>
      </w:pPr>
    </w:p>
    <w:p w14:paraId="7F492027">
      <w:pPr>
        <w:spacing w:after="0" w:line="240" w:lineRule="auto"/>
        <w:ind w:firstLine="708"/>
        <w:jc w:val="both"/>
        <w:rPr>
          <w:rFonts w:ascii="Times New Roman" w:hAnsi="Times New Roman" w:eastAsia="Times New Roman" w:cs="Times New Roman"/>
          <w:b/>
          <w:bCs/>
          <w:sz w:val="28"/>
          <w:szCs w:val="28"/>
          <w:lang w:eastAsia="ru-RU"/>
        </w:rPr>
      </w:pPr>
    </w:p>
    <w:p w14:paraId="264B4282">
      <w:pPr>
        <w:spacing w:after="0" w:line="240" w:lineRule="auto"/>
        <w:ind w:firstLine="708"/>
        <w:jc w:val="both"/>
        <w:rPr>
          <w:rFonts w:ascii="Times New Roman" w:hAnsi="Times New Roman" w:eastAsia="Times New Roman" w:cs="Times New Roman"/>
          <w:b/>
          <w:bCs/>
          <w:sz w:val="28"/>
          <w:szCs w:val="28"/>
          <w:lang w:eastAsia="ru-RU"/>
        </w:rPr>
      </w:pPr>
      <w:r>
        <w:drawing>
          <wp:anchor distT="0" distB="0" distL="114300" distR="114300" simplePos="0" relativeHeight="251663360" behindDoc="0" locked="0" layoutInCell="1" allowOverlap="1">
            <wp:simplePos x="0" y="0"/>
            <wp:positionH relativeFrom="margin">
              <wp:posOffset>-490855</wp:posOffset>
            </wp:positionH>
            <wp:positionV relativeFrom="margin">
              <wp:posOffset>6608445</wp:posOffset>
            </wp:positionV>
            <wp:extent cx="3164205" cy="212026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r="1402" b="12878"/>
                    <a:stretch>
                      <a:fillRect/>
                    </a:stretch>
                  </pic:blipFill>
                  <pic:spPr>
                    <a:xfrm>
                      <a:off x="0" y="0"/>
                      <a:ext cx="3164205" cy="2120265"/>
                    </a:xfrm>
                    <a:prstGeom prst="rect">
                      <a:avLst/>
                    </a:prstGeom>
                    <a:noFill/>
                    <a:ln>
                      <a:noFill/>
                    </a:ln>
                  </pic:spPr>
                </pic:pic>
              </a:graphicData>
            </a:graphic>
          </wp:anchor>
        </w:drawing>
      </w:r>
    </w:p>
    <w:p w14:paraId="652E2541">
      <w:pPr>
        <w:spacing w:after="0" w:line="240" w:lineRule="auto"/>
        <w:ind w:firstLine="708"/>
        <w:jc w:val="both"/>
        <w:rPr>
          <w:rFonts w:ascii="Times New Roman" w:hAnsi="Times New Roman" w:eastAsia="Times New Roman" w:cs="Times New Roman"/>
          <w:b/>
          <w:bCs/>
          <w:sz w:val="28"/>
          <w:szCs w:val="28"/>
          <w:lang w:eastAsia="ru-RU"/>
        </w:rPr>
      </w:pPr>
    </w:p>
    <w:p w14:paraId="12BCB278">
      <w:pPr>
        <w:spacing w:after="0" w:line="240" w:lineRule="auto"/>
        <w:ind w:firstLine="708"/>
        <w:jc w:val="both"/>
        <w:rPr>
          <w:rFonts w:ascii="Times New Roman" w:hAnsi="Times New Roman" w:eastAsia="Times New Roman" w:cs="Times New Roman"/>
          <w:b/>
          <w:bCs/>
          <w:sz w:val="28"/>
          <w:szCs w:val="28"/>
          <w:lang w:eastAsia="ru-RU"/>
        </w:rPr>
      </w:pPr>
    </w:p>
    <w:p w14:paraId="7B31D66E">
      <w:pPr>
        <w:spacing w:after="0" w:line="240" w:lineRule="auto"/>
        <w:ind w:firstLine="708"/>
        <w:jc w:val="both"/>
        <w:rPr>
          <w:rFonts w:ascii="Times New Roman" w:hAnsi="Times New Roman" w:eastAsia="Times New Roman" w:cs="Times New Roman"/>
          <w:b/>
          <w:bCs/>
          <w:sz w:val="28"/>
          <w:szCs w:val="28"/>
          <w:lang w:eastAsia="ru-RU"/>
        </w:rPr>
      </w:pPr>
    </w:p>
    <w:p w14:paraId="152EC0CF">
      <w:pPr>
        <w:spacing w:after="0" w:line="240" w:lineRule="auto"/>
        <w:ind w:firstLine="708"/>
        <w:jc w:val="both"/>
        <w:rPr>
          <w:rFonts w:ascii="Times New Roman" w:hAnsi="Times New Roman" w:eastAsia="Times New Roman" w:cs="Times New Roman"/>
          <w:b/>
          <w:bCs/>
          <w:sz w:val="28"/>
          <w:szCs w:val="28"/>
          <w:lang w:eastAsia="ru-RU"/>
        </w:rPr>
      </w:pPr>
    </w:p>
    <w:p w14:paraId="3E7806FD">
      <w:pPr>
        <w:spacing w:after="0" w:line="240" w:lineRule="auto"/>
        <w:ind w:firstLine="708"/>
        <w:jc w:val="both"/>
        <w:rPr>
          <w:rFonts w:ascii="Times New Roman" w:hAnsi="Times New Roman" w:eastAsia="Times New Roman" w:cs="Times New Roman"/>
          <w:b/>
          <w:bCs/>
          <w:sz w:val="28"/>
          <w:szCs w:val="28"/>
          <w:lang w:eastAsia="ru-RU"/>
        </w:rPr>
      </w:pPr>
    </w:p>
    <w:p w14:paraId="02FFFDB6">
      <w:pPr>
        <w:spacing w:after="0" w:line="240" w:lineRule="auto"/>
        <w:ind w:firstLine="708"/>
        <w:jc w:val="both"/>
        <w:rPr>
          <w:rFonts w:ascii="Times New Roman" w:hAnsi="Times New Roman" w:eastAsia="Times New Roman" w:cs="Times New Roman"/>
          <w:b/>
          <w:bCs/>
          <w:sz w:val="28"/>
          <w:szCs w:val="28"/>
          <w:lang w:eastAsia="ru-RU"/>
        </w:rPr>
      </w:pPr>
    </w:p>
    <w:p w14:paraId="3C242289">
      <w:pPr>
        <w:spacing w:after="0" w:line="240" w:lineRule="auto"/>
        <w:ind w:firstLine="708"/>
        <w:jc w:val="both"/>
        <w:rPr>
          <w:rFonts w:ascii="Times New Roman" w:hAnsi="Times New Roman" w:eastAsia="Times New Roman" w:cs="Times New Roman"/>
          <w:b/>
          <w:bCs/>
          <w:sz w:val="28"/>
          <w:szCs w:val="28"/>
          <w:lang w:eastAsia="ru-RU"/>
        </w:rPr>
      </w:pPr>
    </w:p>
    <w:p w14:paraId="3BB237BD">
      <w:pPr>
        <w:spacing w:after="0" w:line="240" w:lineRule="auto"/>
        <w:ind w:firstLine="708"/>
        <w:jc w:val="both"/>
        <w:rPr>
          <w:rFonts w:ascii="Times New Roman" w:hAnsi="Times New Roman" w:eastAsia="Times New Roman" w:cs="Times New Roman"/>
          <w:b/>
          <w:bCs/>
          <w:sz w:val="28"/>
          <w:szCs w:val="28"/>
          <w:lang w:eastAsia="ru-RU"/>
        </w:rPr>
      </w:pPr>
    </w:p>
    <w:p w14:paraId="513D01C7">
      <w:pPr>
        <w:spacing w:after="0" w:line="240" w:lineRule="auto"/>
        <w:ind w:firstLine="708"/>
        <w:jc w:val="both"/>
        <w:rPr>
          <w:rFonts w:ascii="Times New Roman" w:hAnsi="Times New Roman" w:eastAsia="Times New Roman" w:cs="Times New Roman"/>
          <w:b/>
          <w:bCs/>
          <w:sz w:val="28"/>
          <w:szCs w:val="28"/>
          <w:lang w:eastAsia="ru-RU"/>
        </w:rPr>
      </w:pPr>
    </w:p>
    <w:p w14:paraId="2C78337C">
      <w:pPr>
        <w:spacing w:after="0" w:line="240" w:lineRule="auto"/>
        <w:ind w:firstLine="708"/>
        <w:jc w:val="both"/>
        <w:rPr>
          <w:rFonts w:ascii="Times New Roman" w:hAnsi="Times New Roman" w:eastAsia="Times New Roman" w:cs="Times New Roman"/>
          <w:b/>
          <w:bCs/>
          <w:sz w:val="28"/>
          <w:szCs w:val="28"/>
          <w:lang w:eastAsia="ru-RU"/>
        </w:rPr>
      </w:pPr>
    </w:p>
    <w:p w14:paraId="7574032B">
      <w:pPr>
        <w:spacing w:after="0" w:line="240" w:lineRule="auto"/>
        <w:ind w:firstLine="708"/>
        <w:jc w:val="both"/>
        <w:rPr>
          <w:rFonts w:ascii="Times New Roman" w:hAnsi="Times New Roman" w:eastAsia="Times New Roman" w:cs="Times New Roman"/>
          <w:b/>
          <w:bCs/>
          <w:sz w:val="28"/>
          <w:szCs w:val="28"/>
          <w:lang w:eastAsia="ru-RU"/>
        </w:rPr>
      </w:pPr>
    </w:p>
    <w:p w14:paraId="767D1388">
      <w:pPr>
        <w:spacing w:after="0" w:line="240" w:lineRule="auto"/>
        <w:ind w:firstLine="708"/>
        <w:jc w:val="both"/>
        <w:rPr>
          <w:rFonts w:ascii="Times New Roman" w:hAnsi="Times New Roman" w:eastAsia="Times New Roman" w:cs="Times New Roman"/>
          <w:b/>
          <w:bCs/>
          <w:sz w:val="28"/>
          <w:szCs w:val="28"/>
          <w:lang w:eastAsia="ru-RU"/>
        </w:rPr>
      </w:pPr>
      <w:bookmarkStart w:id="0" w:name="_GoBack"/>
      <w:bookmarkEnd w:id="0"/>
      <w:r>
        <w:rPr>
          <w:rFonts w:ascii="Times New Roman" w:hAnsi="Times New Roman" w:eastAsia="Times New Roman" w:cs="Times New Roman"/>
          <w:b/>
          <w:bCs/>
          <w:sz w:val="28"/>
          <w:szCs w:val="28"/>
          <w:lang w:eastAsia="ru-RU"/>
        </w:rPr>
        <w:t>Театрально-музыкальные центры в группах.</w:t>
      </w:r>
    </w:p>
    <w:p w14:paraId="43B66988">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полноценного музыкального развития ребёнка, ему предоставлена возможность самостоятельно играть на музыкальных инструментах, музицировать, закреплять полученные умения и навыки с помощью музыкальных игр, пособий и атрибутов в своей группе. Совместно с воспитателями в группах были созданы театрально-музыкальные уголки. Для каждой возрастной группы рекомендовала необходимый список оборудования, наполняемость уголка.</w:t>
      </w:r>
    </w:p>
    <w:p w14:paraId="07AECD8D">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Размещение музыкальных центров в группах:</w:t>
      </w:r>
    </w:p>
    <w:p w14:paraId="05FD0CA2">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Доступность оборудования музыкального уголка для детей</w:t>
      </w:r>
    </w:p>
    <w:p w14:paraId="6D14F2DC">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Разнообразие оборудования музыкального уголка</w:t>
      </w:r>
    </w:p>
    <w:p w14:paraId="74E7D771">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72576" behindDoc="0" locked="0" layoutInCell="1" allowOverlap="1">
            <wp:simplePos x="0" y="0"/>
            <wp:positionH relativeFrom="margin">
              <wp:align>left</wp:align>
            </wp:positionH>
            <wp:positionV relativeFrom="margin">
              <wp:posOffset>121285</wp:posOffset>
            </wp:positionV>
            <wp:extent cx="2781300" cy="2566035"/>
            <wp:effectExtent l="0" t="6668"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l="11345" r="15683" b="10234"/>
                    <a:stretch>
                      <a:fillRect/>
                    </a:stretch>
                  </pic:blipFill>
                  <pic:spPr>
                    <a:xfrm rot="16200000">
                      <a:off x="0" y="0"/>
                      <a:ext cx="2781300" cy="2566035"/>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3. Учет возрастных особенностей детей при создании музыкального уголка</w:t>
      </w:r>
    </w:p>
    <w:p w14:paraId="421C5DFB">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Эстетичность оформления музыкального уголка и его оборудования.</w:t>
      </w:r>
    </w:p>
    <w:p w14:paraId="34AD86DB">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Игровой материал и оборудование для музыкального развития детей раннего возраста:</w:t>
      </w:r>
    </w:p>
    <w:p w14:paraId="3116D433">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Музыкальные колонки, флешки с записью музыкальных произведений для детей дошкольного возраста;</w:t>
      </w:r>
    </w:p>
    <w:p w14:paraId="098F5FCD">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Куклы-неваляшки, бубны, дудочки, гармошка, флейта, колокольчик, трещотка, погремушки.</w:t>
      </w:r>
    </w:p>
    <w:p w14:paraId="4C492DF9">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73600" behindDoc="0" locked="0" layoutInCell="1" allowOverlap="1">
            <wp:simplePos x="0" y="0"/>
            <wp:positionH relativeFrom="margin">
              <wp:align>left</wp:align>
            </wp:positionH>
            <wp:positionV relativeFrom="margin">
              <wp:posOffset>2954020</wp:posOffset>
            </wp:positionV>
            <wp:extent cx="2769870" cy="2576195"/>
            <wp:effectExtent l="1587"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r="4751"/>
                    <a:stretch>
                      <a:fillRect/>
                    </a:stretch>
                  </pic:blipFill>
                  <pic:spPr>
                    <a:xfrm rot="16200000">
                      <a:off x="0" y="0"/>
                      <a:ext cx="2769870" cy="2576195"/>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Театральная ширма, различные виды театров (перчаточный, шагающий, персонажи-варежки, пальчиковый, настольный и др.).</w:t>
      </w:r>
    </w:p>
    <w:p w14:paraId="671B1696">
      <w:pPr>
        <w:spacing w:after="0" w:line="240" w:lineRule="auto"/>
        <w:ind w:firstLine="708"/>
        <w:jc w:val="both"/>
        <w:rPr>
          <w:rFonts w:ascii="Times New Roman" w:hAnsi="Times New Roman" w:eastAsia="Times New Roman" w:cs="Times New Roman"/>
          <w:sz w:val="28"/>
          <w:szCs w:val="28"/>
          <w:lang w:eastAsia="ru-RU"/>
        </w:rPr>
      </w:pPr>
      <w:r>
        <w:drawing>
          <wp:anchor distT="0" distB="0" distL="114300" distR="114300" simplePos="0" relativeHeight="251674624" behindDoc="0" locked="0" layoutInCell="1" allowOverlap="1">
            <wp:simplePos x="0" y="0"/>
            <wp:positionH relativeFrom="margin">
              <wp:posOffset>-268605</wp:posOffset>
            </wp:positionH>
            <wp:positionV relativeFrom="margin">
              <wp:posOffset>6026150</wp:posOffset>
            </wp:positionV>
            <wp:extent cx="3199130" cy="2597785"/>
            <wp:effectExtent l="0" t="4128"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1" cstate="print">
                      <a:extLst>
                        <a:ext uri="{28A0092B-C50C-407E-A947-70E740481C1C}">
                          <a14:useLocalDpi xmlns:a14="http://schemas.microsoft.com/office/drawing/2010/main" val="0"/>
                        </a:ext>
                      </a:extLst>
                    </a:blip>
                    <a:srcRect b="6763"/>
                    <a:stretch>
                      <a:fillRect/>
                    </a:stretch>
                  </pic:blipFill>
                  <pic:spPr>
                    <a:xfrm rot="16200000">
                      <a:off x="0" y="0"/>
                      <a:ext cx="3199130" cy="2597785"/>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 xml:space="preserve">В детском саду очень много атрибутов для танцевального и музыкального творчества (разноцветные платочки, шарфики, ленточки, помпоны; осенние веточки, снежинки, букетики цветов; светящиеся звездочки, волшебные палочки, фонарики и т.д.), элементов костюмов (шапочки грибов, овощей, цветов, шапочки животных и т.д.) и атрибутов для инсценирования песен, творческих музыкальных этюдов и импровизаций. Яркие, красочные атрибуты помогают наполнить содержание музыкальной деятельности детей более глубоким смыслом, поднять эмоциональный фон происходящего действия. </w:t>
      </w:r>
    </w:p>
    <w:p w14:paraId="40DE7077">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детском саду очень много атрибутов для танцевального и музыкального творчества (разноцветные платочки, шарфики, ленточки, помпоны; осенние веточки, снежинки, букетики цветов; светящиеся звездочки, волшебные палочки, фонарики и т.д.), элементов костюмов (шапочки грибов, овощей, цветов, шапочки животных и т.д.) и атрибутов для инсценирования песен, творческих музыкальных этюдов и импровизаций. Яркие, красочные атрибуты </w:t>
      </w:r>
      <w:r>
        <w:drawing>
          <wp:anchor distT="0" distB="0" distL="114300" distR="114300" simplePos="0" relativeHeight="251675648" behindDoc="0" locked="0" layoutInCell="1" allowOverlap="1">
            <wp:simplePos x="0" y="0"/>
            <wp:positionH relativeFrom="margin">
              <wp:posOffset>-106045</wp:posOffset>
            </wp:positionH>
            <wp:positionV relativeFrom="margin">
              <wp:align>top</wp:align>
            </wp:positionV>
            <wp:extent cx="2549525" cy="2353945"/>
            <wp:effectExtent l="0" t="0" r="3175" b="825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2" cstate="print">
                      <a:extLst>
                        <a:ext uri="{28A0092B-C50C-407E-A947-70E740481C1C}">
                          <a14:useLocalDpi xmlns:a14="http://schemas.microsoft.com/office/drawing/2010/main" val="0"/>
                        </a:ext>
                      </a:extLst>
                    </a:blip>
                    <a:srcRect l="9050" r="8531" b="12968"/>
                    <a:stretch>
                      <a:fillRect/>
                    </a:stretch>
                  </pic:blipFill>
                  <pic:spPr>
                    <a:xfrm>
                      <a:off x="0" y="0"/>
                      <a:ext cx="2549525" cy="2353945"/>
                    </a:xfrm>
                    <a:prstGeom prst="rect">
                      <a:avLst/>
                    </a:prstGeom>
                    <a:noFill/>
                    <a:ln>
                      <a:noFill/>
                    </a:ln>
                  </pic:spPr>
                </pic:pic>
              </a:graphicData>
            </a:graphic>
          </wp:anchor>
        </w:drawing>
      </w:r>
      <w:r>
        <w:rPr>
          <w:rFonts w:ascii="Times New Roman" w:hAnsi="Times New Roman" w:eastAsia="Times New Roman" w:cs="Times New Roman"/>
          <w:sz w:val="28"/>
          <w:szCs w:val="28"/>
          <w:lang w:eastAsia="ru-RU"/>
        </w:rPr>
        <w:t xml:space="preserve">помогают наполнить содержание музыкальной деятельности детей более глубоким смыслом, поднять эмоциональный фон происходящего действия. </w:t>
      </w:r>
    </w:p>
    <w:p w14:paraId="6A96A366">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Современная музыкальная развивающая предметно-пространственная среда, творческая среда, которая дает малышу возможность проявлять себя, реализовываться в различных видах музыкальной деятельности и является «плодородной почвой», на которой и произрастают ростки музыкальных и творческих проявлений детей.</w:t>
      </w:r>
    </w:p>
    <w:p w14:paraId="26E4C5A4">
      <w:pPr>
        <w:spacing w:after="0" w:line="240" w:lineRule="auto"/>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завершении, хотелось бы отметить, что музыкальный зал – это визитная карточка детского сада. Здесь проходит не только непосредственная организованная деятельность, но и всевозможные праздники, развлечения и другие мероприятия для детей, сотрудников и родителей.</w:t>
      </w:r>
    </w:p>
    <w:p w14:paraId="30076848">
      <w:pPr>
        <w:spacing w:after="0" w:line="240" w:lineRule="auto"/>
        <w:jc w:val="both"/>
        <w:rPr>
          <w:rFonts w:ascii="Times New Roman" w:hAnsi="Times New Roman" w:eastAsia="Times New Roman" w:cs="Times New Roman"/>
          <w:sz w:val="28"/>
          <w:szCs w:val="28"/>
          <w:lang w:eastAsia="ru-RU"/>
        </w:rPr>
      </w:pPr>
    </w:p>
    <w:p w14:paraId="08A3153F">
      <w:pPr>
        <w:spacing w:after="0" w:line="240" w:lineRule="auto"/>
        <w:jc w:val="both"/>
        <w:rPr>
          <w:rFonts w:ascii="Times New Roman" w:hAnsi="Times New Roman" w:eastAsia="Times New Roman" w:cs="Times New Roman"/>
          <w:sz w:val="28"/>
          <w:szCs w:val="28"/>
          <w:lang w:eastAsia="ru-RU"/>
        </w:rPr>
      </w:pPr>
    </w:p>
    <w:p w14:paraId="27385F09">
      <w:pPr>
        <w:rPr>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6EB"/>
    <w:rsid w:val="000948FC"/>
    <w:rsid w:val="001807F0"/>
    <w:rsid w:val="00312F64"/>
    <w:rsid w:val="003A4838"/>
    <w:rsid w:val="004355C0"/>
    <w:rsid w:val="00482828"/>
    <w:rsid w:val="004C655B"/>
    <w:rsid w:val="00560F9F"/>
    <w:rsid w:val="005B1514"/>
    <w:rsid w:val="0077159E"/>
    <w:rsid w:val="007C353D"/>
    <w:rsid w:val="008069FE"/>
    <w:rsid w:val="008832F2"/>
    <w:rsid w:val="00914E57"/>
    <w:rsid w:val="00A336D4"/>
    <w:rsid w:val="00AF26EB"/>
    <w:rsid w:val="00B83854"/>
    <w:rsid w:val="00D11FDF"/>
    <w:rsid w:val="5E8B11F7"/>
    <w:rsid w:val="7720153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1502</Words>
  <Characters>8562</Characters>
  <Lines>71</Lines>
  <Paragraphs>20</Paragraphs>
  <TotalTime>11</TotalTime>
  <ScaleCrop>false</ScaleCrop>
  <LinksUpToDate>false</LinksUpToDate>
  <CharactersWithSpaces>10044</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2024-09-04T09:06:00Z</dcterms:created>
  <dc:creator>МБДОУ 182</dc:creator>
  <cp:lastModifiedBy>sad18</cp:lastModifiedBy>
  <dcterms:modified xsi:type="dcterms:W3CDTF">2025-04-03T08:41:55Z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9772D2005E734F3CA8A32017A2A418A8_12</vt:lpwstr>
  </property>
</Properties>
</file>